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23" w:rsidRPr="00A7532A" w:rsidRDefault="00F37523" w:rsidP="00A7532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532A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r w:rsidR="00A7532A" w:rsidRPr="00A7532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7532A">
        <w:rPr>
          <w:rFonts w:ascii="Times New Roman" w:hAnsi="Times New Roman" w:cs="Times New Roman"/>
          <w:b/>
          <w:bCs/>
          <w:sz w:val="36"/>
          <w:szCs w:val="36"/>
        </w:rPr>
        <w:t>ВЫСОКСКОГО СЕЛЬСОВЕТА</w:t>
      </w:r>
    </w:p>
    <w:p w:rsidR="00F37523" w:rsidRPr="00A7532A" w:rsidRDefault="00A7532A" w:rsidP="00A7532A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37523" w:rsidRPr="00A7532A">
        <w:rPr>
          <w:rFonts w:ascii="Times New Roman" w:hAnsi="Times New Roman" w:cs="Times New Roman"/>
          <w:b/>
          <w:bCs/>
          <w:sz w:val="36"/>
          <w:szCs w:val="36"/>
        </w:rPr>
        <w:t>МЕДВЕНСКОГО РАЙОНА</w:t>
      </w:r>
      <w:r w:rsidRPr="00A7532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37523" w:rsidRPr="00A7532A">
        <w:rPr>
          <w:rFonts w:ascii="Times New Roman" w:hAnsi="Times New Roman" w:cs="Times New Roman"/>
          <w:b/>
          <w:bCs/>
          <w:sz w:val="36"/>
          <w:szCs w:val="36"/>
        </w:rPr>
        <w:t>КУРСКОЙ ОБЛАСТИ</w:t>
      </w:r>
    </w:p>
    <w:p w:rsidR="00A7532A" w:rsidRPr="00A7532A" w:rsidRDefault="00A7532A" w:rsidP="00A7532A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37523" w:rsidRDefault="00F37523" w:rsidP="00DF7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532A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A7532A" w:rsidRPr="006E7D67" w:rsidRDefault="00A7532A" w:rsidP="00DF7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F37523" w:rsidRPr="00A7532A" w:rsidRDefault="00F37523" w:rsidP="00A75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532A">
        <w:rPr>
          <w:rFonts w:ascii="Times New Roman" w:hAnsi="Times New Roman" w:cs="Times New Roman"/>
          <w:bCs/>
          <w:sz w:val="24"/>
          <w:szCs w:val="24"/>
        </w:rPr>
        <w:t>от 0</w:t>
      </w:r>
      <w:r w:rsidR="005D2B7E" w:rsidRPr="00A7532A">
        <w:rPr>
          <w:rFonts w:ascii="Times New Roman" w:hAnsi="Times New Roman" w:cs="Times New Roman"/>
          <w:bCs/>
          <w:sz w:val="24"/>
          <w:szCs w:val="24"/>
        </w:rPr>
        <w:t>5</w:t>
      </w:r>
      <w:r w:rsidRPr="00A7532A">
        <w:rPr>
          <w:rFonts w:ascii="Times New Roman" w:hAnsi="Times New Roman" w:cs="Times New Roman"/>
          <w:bCs/>
          <w:sz w:val="24"/>
          <w:szCs w:val="24"/>
        </w:rPr>
        <w:t xml:space="preserve">.03.2021 года </w:t>
      </w:r>
      <w:r w:rsidR="00A753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6E7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5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532A">
        <w:rPr>
          <w:rFonts w:ascii="Times New Roman" w:hAnsi="Times New Roman" w:cs="Times New Roman"/>
          <w:bCs/>
          <w:sz w:val="24"/>
          <w:szCs w:val="24"/>
        </w:rPr>
        <w:t>№39-па</w:t>
      </w:r>
    </w:p>
    <w:p w:rsidR="00F37523" w:rsidRPr="00A7532A" w:rsidRDefault="00F37523" w:rsidP="002F4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37523" w:rsidRPr="00A7532A" w:rsidRDefault="00F37523" w:rsidP="00832D3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32A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Высокского сельсовета Медвенского района от 16.12.2019 года № 150-па «Об утверждении</w:t>
      </w:r>
      <w:r w:rsidRPr="00A75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муниципальной программы </w:t>
      </w:r>
      <w:r w:rsidRPr="00A7532A">
        <w:rPr>
          <w:rFonts w:ascii="Times New Roman" w:hAnsi="Times New Roman" w:cs="Times New Roman"/>
          <w:b/>
          <w:bCs/>
          <w:sz w:val="24"/>
          <w:szCs w:val="24"/>
        </w:rPr>
        <w:t>«Комплексное развитие сельских территорий Высокского сельсовета Медвенского района Курской области»</w:t>
      </w:r>
    </w:p>
    <w:p w:rsidR="00F37523" w:rsidRPr="00A7532A" w:rsidRDefault="00F37523" w:rsidP="00832D39">
      <w:pPr>
        <w:spacing w:after="0" w:line="240" w:lineRule="auto"/>
        <w:ind w:right="26"/>
        <w:jc w:val="center"/>
        <w:rPr>
          <w:rFonts w:ascii="Times New Roman" w:hAnsi="Times New Roman" w:cs="Times New Roman"/>
          <w:sz w:val="28"/>
          <w:szCs w:val="28"/>
        </w:rPr>
      </w:pPr>
    </w:p>
    <w:p w:rsidR="00F37523" w:rsidRPr="00A7532A" w:rsidRDefault="00F37523" w:rsidP="00DF7A77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32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</w:t>
      </w:r>
      <w:r w:rsidRPr="00A7532A">
        <w:rPr>
          <w:rFonts w:ascii="Times New Roman" w:hAnsi="Times New Roman" w:cs="Times New Roman"/>
          <w:sz w:val="28"/>
          <w:szCs w:val="28"/>
          <w:lang w:eastAsia="en-US"/>
        </w:rPr>
        <w:t xml:space="preserve"> Постановлением Администрации Курской области от 06.11.2019 года №1066-па «Об утверждении государственной программы Курской области «</w:t>
      </w:r>
      <w:r w:rsidRPr="00A7532A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Курской области»</w:t>
      </w:r>
      <w:r w:rsidRPr="00A7532A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A7532A">
        <w:rPr>
          <w:rFonts w:ascii="Times New Roman" w:hAnsi="Times New Roman" w:cs="Times New Roman"/>
          <w:sz w:val="28"/>
          <w:szCs w:val="28"/>
        </w:rPr>
        <w:t>Уставом муниципального образования «Высокский сельсовет» Медвенского района Курской области, Администрация Высокского сельсовета Медвенского района Курской области ПОСТАНОВЛЯЕТ:</w:t>
      </w:r>
      <w:proofErr w:type="gramEnd"/>
    </w:p>
    <w:p w:rsidR="00F37523" w:rsidRPr="00A7532A" w:rsidRDefault="00A7532A" w:rsidP="00DF7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523" w:rsidRPr="00A7532A">
        <w:rPr>
          <w:rFonts w:ascii="Times New Roman" w:hAnsi="Times New Roman" w:cs="Times New Roman"/>
          <w:sz w:val="28"/>
          <w:szCs w:val="28"/>
        </w:rPr>
        <w:t>1.Внести в муниципальную программу «Комплексное развитие сельских территорий Высокского сельсовета Медвенского района Курской области», утвержденную постановлением Администрации Высокского сельсовета Медвенского района от 16.12.2019 года №150-па следующие изменения:</w:t>
      </w:r>
    </w:p>
    <w:p w:rsidR="00F37523" w:rsidRPr="00A7532A" w:rsidRDefault="00F37523" w:rsidP="00DF7A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1.1. В паспорт «Комплексное развитие сельских территорий Высокского сельсовета Медвенского района Курской области;</w:t>
      </w:r>
    </w:p>
    <w:p w:rsidR="00F37523" w:rsidRPr="00A7532A" w:rsidRDefault="00F37523" w:rsidP="00DF7A7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 xml:space="preserve">- в подпрограмму «Организация и содержание прочих объектов благоустройства на территории Высокского сельсовета Медвенского района Курской области» муниципальной программы «Комплексное развитие сельских территорий Высокского сельсовета Медвенского района Курской области»; </w:t>
      </w:r>
    </w:p>
    <w:p w:rsidR="00F37523" w:rsidRPr="00A7532A" w:rsidRDefault="00F37523" w:rsidP="00DF7A7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32A">
        <w:rPr>
          <w:rFonts w:ascii="Times New Roman" w:hAnsi="Times New Roman" w:cs="Times New Roman"/>
          <w:sz w:val="28"/>
          <w:szCs w:val="28"/>
        </w:rPr>
        <w:t>-в паспорт Подпрограммы «Организация и содержание прочих объектов благоустройства на территории Высокского сельсовета Медвенского района Курской области» муниципальной программы «Комплексное развитие сельских территорий Высокского сельсовета Медвенского района Курской области» на 2020 – 2025 годы слова «объем финансовых средств из бюджетов всех уровней составляет 18 640,0 тыс. рублей, в том числе по годам:</w:t>
      </w:r>
      <w:proofErr w:type="gramEnd"/>
    </w:p>
    <w:p w:rsidR="00F37523" w:rsidRPr="00A7532A" w:rsidRDefault="00F37523" w:rsidP="00110E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2020 год – 3 060,0 тыс. рублей;</w:t>
      </w:r>
    </w:p>
    <w:p w:rsidR="00F37523" w:rsidRPr="00A7532A" w:rsidRDefault="00F37523" w:rsidP="00110E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2021 год – 5 580,00 тыс. рублей;</w:t>
      </w:r>
    </w:p>
    <w:p w:rsidR="00F37523" w:rsidRPr="00A7532A" w:rsidRDefault="00F37523" w:rsidP="00110E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2022 год – 5 000,0 тыс. рублей;</w:t>
      </w:r>
    </w:p>
    <w:p w:rsidR="00F37523" w:rsidRPr="00A7532A" w:rsidRDefault="00F37523" w:rsidP="00110E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2023 год – 5 000,0 тыс. рублей;</w:t>
      </w:r>
    </w:p>
    <w:p w:rsidR="00F37523" w:rsidRPr="00A7532A" w:rsidRDefault="00F37523" w:rsidP="00110E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2024 год – 0 рублей;</w:t>
      </w:r>
    </w:p>
    <w:p w:rsidR="00F37523" w:rsidRPr="00A7532A" w:rsidRDefault="00F37523" w:rsidP="00110E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lastRenderedPageBreak/>
        <w:t xml:space="preserve">2025 год – 0 рублей», </w:t>
      </w:r>
    </w:p>
    <w:p w:rsidR="00F37523" w:rsidRPr="00A7532A" w:rsidRDefault="00F37523" w:rsidP="006D3274">
      <w:pPr>
        <w:autoSpaceDE w:val="0"/>
        <w:autoSpaceDN w:val="0"/>
        <w:adjustRightInd w:val="0"/>
        <w:spacing w:after="0" w:line="240" w:lineRule="auto"/>
        <w:ind w:firstLine="392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32A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A7532A">
        <w:rPr>
          <w:rFonts w:ascii="Times New Roman" w:hAnsi="Times New Roman" w:cs="Times New Roman"/>
          <w:sz w:val="28"/>
          <w:szCs w:val="28"/>
        </w:rPr>
        <w:t xml:space="preserve"> «объем финансовых средств из бюджетов всех уровней составляет 4247,908 тыс. рублей, в том числе по годам:</w:t>
      </w:r>
    </w:p>
    <w:p w:rsidR="00F37523" w:rsidRPr="00A7532A" w:rsidRDefault="00F37523" w:rsidP="006D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 xml:space="preserve">2020 год – 246,408 тыс. рублей, </w:t>
      </w:r>
    </w:p>
    <w:p w:rsidR="00F37523" w:rsidRPr="00A7532A" w:rsidRDefault="00F37523" w:rsidP="006D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в том числе:</w:t>
      </w:r>
    </w:p>
    <w:p w:rsidR="00F37523" w:rsidRPr="00A7532A" w:rsidRDefault="00F37523" w:rsidP="006D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средства местного бюджета 24,641 тыс.</w:t>
      </w:r>
      <w:r w:rsidRPr="00A753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32A">
        <w:rPr>
          <w:rFonts w:ascii="Times New Roman" w:hAnsi="Times New Roman" w:cs="Times New Roman"/>
          <w:sz w:val="28"/>
          <w:szCs w:val="28"/>
        </w:rPr>
        <w:t>рублей,</w:t>
      </w:r>
    </w:p>
    <w:p w:rsidR="00F37523" w:rsidRPr="00A7532A" w:rsidRDefault="00F37523" w:rsidP="006D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средства областного бюджета 172,486 тыс. рублей</w:t>
      </w:r>
    </w:p>
    <w:p w:rsidR="00F37523" w:rsidRPr="00A7532A" w:rsidRDefault="00F37523" w:rsidP="006D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32A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Pr="00A7532A">
        <w:rPr>
          <w:rFonts w:ascii="Times New Roman" w:hAnsi="Times New Roman" w:cs="Times New Roman"/>
          <w:sz w:val="28"/>
          <w:szCs w:val="28"/>
        </w:rPr>
        <w:t xml:space="preserve"> внебюджетные 49,281 тыс. рублей</w:t>
      </w:r>
    </w:p>
    <w:p w:rsidR="00F37523" w:rsidRPr="00A7532A" w:rsidRDefault="00F37523" w:rsidP="00110E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2021 год – 500 рублей;</w:t>
      </w:r>
    </w:p>
    <w:p w:rsidR="00F37523" w:rsidRPr="00A7532A" w:rsidRDefault="00F37523" w:rsidP="00110E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2022 год – 500 рублей;</w:t>
      </w:r>
    </w:p>
    <w:p w:rsidR="00F37523" w:rsidRPr="00A7532A" w:rsidRDefault="00F37523" w:rsidP="00110E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2023 год – 500 рублей;</w:t>
      </w:r>
    </w:p>
    <w:p w:rsidR="00F37523" w:rsidRPr="00A7532A" w:rsidRDefault="00F37523" w:rsidP="00110E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2024 год – 2 000,0 тыс. рублей;</w:t>
      </w:r>
    </w:p>
    <w:p w:rsidR="00F37523" w:rsidRPr="00A7532A" w:rsidRDefault="00F37523" w:rsidP="00110E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 xml:space="preserve"> 2025 год – 2 000,0 тыс. рублей».</w:t>
      </w:r>
    </w:p>
    <w:p w:rsidR="00F37523" w:rsidRPr="00A7532A" w:rsidRDefault="00F37523" w:rsidP="003B7A59">
      <w:pPr>
        <w:shd w:val="clear" w:color="auto" w:fill="F8FAF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1.2. В разделе 3</w:t>
      </w:r>
      <w:r w:rsidRPr="00A753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7532A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мероприятий, ресурсное обеспечение Подпрограммы слова «Общий объем финансовых средств из бюджетов всех уровней составляет 30 640,0 тыс. рублей» </w:t>
      </w:r>
      <w:proofErr w:type="gramStart"/>
      <w:r w:rsidRPr="00A7532A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A7532A">
        <w:rPr>
          <w:rFonts w:ascii="Times New Roman" w:hAnsi="Times New Roman" w:cs="Times New Roman"/>
          <w:sz w:val="28"/>
          <w:szCs w:val="28"/>
        </w:rPr>
        <w:t xml:space="preserve"> «Общий объем финансовых средств из бюджетов всех уровней составляет 4247,908 тыс. рублей».</w:t>
      </w:r>
    </w:p>
    <w:p w:rsidR="00F37523" w:rsidRPr="00A7532A" w:rsidRDefault="00F37523" w:rsidP="00DF7A77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 xml:space="preserve">1.3. Прилагаемое </w:t>
      </w:r>
      <w:r w:rsidRPr="00A7532A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№1 к муниципальной программе </w:t>
      </w:r>
      <w:r w:rsidRPr="00A7532A">
        <w:rPr>
          <w:rFonts w:ascii="Times New Roman" w:hAnsi="Times New Roman" w:cs="Times New Roman"/>
          <w:sz w:val="28"/>
          <w:szCs w:val="28"/>
        </w:rPr>
        <w:t>«Комплексное развитие</w:t>
      </w:r>
      <w:r w:rsidRPr="00A75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32A">
        <w:rPr>
          <w:rFonts w:ascii="Times New Roman" w:hAnsi="Times New Roman" w:cs="Times New Roman"/>
          <w:sz w:val="28"/>
          <w:szCs w:val="28"/>
        </w:rPr>
        <w:t>сельских территорий Высокского сельсовета Медвенского района Курской области» изложить в новой редакции.</w:t>
      </w:r>
    </w:p>
    <w:p w:rsidR="00F37523" w:rsidRPr="00A7532A" w:rsidRDefault="00F37523" w:rsidP="00DF7A77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2.</w:t>
      </w:r>
      <w:r w:rsidRPr="00A7532A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Настоящее постановление вступает в силу со дня подписания и подлежит размещению на официальном сайте муниципального образования «Высокский сельсовет» Медвенского района Курской области в сети «Интернет».</w:t>
      </w:r>
    </w:p>
    <w:p w:rsidR="00F37523" w:rsidRPr="00A7532A" w:rsidRDefault="00F37523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</w:p>
    <w:p w:rsidR="00F37523" w:rsidRPr="00A7532A" w:rsidRDefault="00F37523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</w:p>
    <w:p w:rsidR="00F37523" w:rsidRPr="00A7532A" w:rsidRDefault="00F37523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</w:p>
    <w:p w:rsidR="00F37523" w:rsidRPr="00A7532A" w:rsidRDefault="00F37523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</w:p>
    <w:p w:rsidR="00F37523" w:rsidRPr="00A7532A" w:rsidRDefault="00F37523" w:rsidP="0042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32A">
        <w:rPr>
          <w:rFonts w:ascii="Times New Roman" w:hAnsi="Times New Roman" w:cs="Times New Roman"/>
          <w:sz w:val="28"/>
          <w:szCs w:val="28"/>
        </w:rPr>
        <w:t>Глава Высокского сельсовета</w:t>
      </w:r>
    </w:p>
    <w:p w:rsidR="00F37523" w:rsidRPr="00A7532A" w:rsidRDefault="00F37523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7532A">
        <w:rPr>
          <w:rFonts w:ascii="Times New Roman" w:hAnsi="Times New Roman" w:cs="Times New Roman"/>
          <w:sz w:val="28"/>
          <w:szCs w:val="28"/>
        </w:rPr>
        <w:t>Медвенского района                                                С.Н. Афанасьев</w:t>
      </w:r>
    </w:p>
    <w:p w:rsidR="00F37523" w:rsidRPr="00A7532A" w:rsidRDefault="00F37523" w:rsidP="003B7A59">
      <w:pPr>
        <w:shd w:val="clear" w:color="auto" w:fill="F8F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37523" w:rsidRPr="00A7532A" w:rsidSect="00A7532A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F37523" w:rsidRPr="00A7532A" w:rsidRDefault="00F37523" w:rsidP="0042402E">
      <w:pPr>
        <w:snapToGrid w:val="0"/>
        <w:spacing w:after="0" w:line="240" w:lineRule="auto"/>
        <w:ind w:left="496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532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№1</w:t>
      </w:r>
    </w:p>
    <w:p w:rsidR="00F37523" w:rsidRPr="00A7532A" w:rsidRDefault="00F37523" w:rsidP="0042402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A7532A">
        <w:rPr>
          <w:rFonts w:ascii="Times New Roman" w:hAnsi="Times New Roman" w:cs="Times New Roman"/>
          <w:color w:val="000000"/>
          <w:sz w:val="24"/>
          <w:szCs w:val="24"/>
        </w:rPr>
        <w:t xml:space="preserve">к муниципальной программе </w:t>
      </w:r>
      <w:r w:rsidRPr="00A7532A">
        <w:rPr>
          <w:rFonts w:ascii="Times New Roman" w:hAnsi="Times New Roman" w:cs="Times New Roman"/>
          <w:sz w:val="24"/>
          <w:szCs w:val="24"/>
        </w:rPr>
        <w:t>«Комплексное развитие</w:t>
      </w:r>
    </w:p>
    <w:p w:rsidR="00F37523" w:rsidRPr="00A7532A" w:rsidRDefault="00F37523" w:rsidP="0042402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A7532A">
        <w:rPr>
          <w:rFonts w:ascii="Times New Roman" w:hAnsi="Times New Roman" w:cs="Times New Roman"/>
          <w:sz w:val="24"/>
          <w:szCs w:val="24"/>
        </w:rPr>
        <w:t xml:space="preserve"> сельских территорий Высокского сельсовета</w:t>
      </w:r>
    </w:p>
    <w:p w:rsidR="00F37523" w:rsidRPr="00A7532A" w:rsidRDefault="00F37523" w:rsidP="0042402E">
      <w:pPr>
        <w:spacing w:after="0" w:line="240" w:lineRule="auto"/>
        <w:ind w:left="496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532A">
        <w:rPr>
          <w:rFonts w:ascii="Times New Roman" w:hAnsi="Times New Roman" w:cs="Times New Roman"/>
          <w:sz w:val="24"/>
          <w:szCs w:val="24"/>
        </w:rPr>
        <w:t xml:space="preserve"> Медвенского района Курской области»</w:t>
      </w:r>
    </w:p>
    <w:p w:rsidR="00F37523" w:rsidRPr="00A7532A" w:rsidRDefault="00F37523" w:rsidP="004240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37523" w:rsidRPr="00A7532A" w:rsidRDefault="00F37523" w:rsidP="004240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37523" w:rsidRPr="00A7532A" w:rsidRDefault="00F37523" w:rsidP="004240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532A">
        <w:rPr>
          <w:rFonts w:ascii="Times New Roman" w:hAnsi="Times New Roman" w:cs="Times New Roman"/>
          <w:b/>
          <w:bCs/>
          <w:sz w:val="24"/>
          <w:szCs w:val="24"/>
        </w:rPr>
        <w:t>Система программных мероприятий</w:t>
      </w:r>
    </w:p>
    <w:p w:rsidR="002C015D" w:rsidRDefault="00F37523" w:rsidP="00DF7A77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муниципальной программы </w:t>
      </w:r>
      <w:r w:rsidRPr="00A7532A">
        <w:rPr>
          <w:rFonts w:ascii="Times New Roman" w:hAnsi="Times New Roman" w:cs="Times New Roman"/>
          <w:b/>
          <w:bCs/>
          <w:sz w:val="24"/>
          <w:szCs w:val="24"/>
        </w:rPr>
        <w:t>«Комплексное развитие сельских территорий Высокского сельсовета Медвенского района</w:t>
      </w:r>
    </w:p>
    <w:p w:rsidR="00F37523" w:rsidRPr="00A7532A" w:rsidRDefault="00F37523" w:rsidP="00DF7A77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32A">
        <w:rPr>
          <w:rFonts w:ascii="Times New Roman" w:hAnsi="Times New Roman" w:cs="Times New Roman"/>
          <w:b/>
          <w:bCs/>
          <w:sz w:val="24"/>
          <w:szCs w:val="24"/>
        </w:rPr>
        <w:t xml:space="preserve"> Курской области» 2020 – 2025 гг.</w:t>
      </w:r>
    </w:p>
    <w:p w:rsidR="00F37523" w:rsidRPr="00A7532A" w:rsidRDefault="00F37523" w:rsidP="0042402E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425" w:type="dxa"/>
        <w:tblInd w:w="-106" w:type="dxa"/>
        <w:tblLayout w:type="fixed"/>
        <w:tblLook w:val="0000"/>
      </w:tblPr>
      <w:tblGrid>
        <w:gridCol w:w="568"/>
        <w:gridCol w:w="2693"/>
        <w:gridCol w:w="1843"/>
        <w:gridCol w:w="1241"/>
        <w:gridCol w:w="1134"/>
        <w:gridCol w:w="1353"/>
        <w:gridCol w:w="1134"/>
        <w:gridCol w:w="915"/>
        <w:gridCol w:w="993"/>
        <w:gridCol w:w="992"/>
        <w:gridCol w:w="1559"/>
      </w:tblGrid>
      <w:tr w:rsidR="00F37523" w:rsidRPr="00A7532A">
        <w:trPr>
          <w:trHeight w:val="5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4240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37523" w:rsidRPr="00A7532A" w:rsidRDefault="00F37523" w:rsidP="00424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4240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37523" w:rsidRPr="00A7532A" w:rsidRDefault="00F37523" w:rsidP="00424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42402E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  <w:p w:rsidR="00F37523" w:rsidRPr="00A7532A" w:rsidRDefault="00F37523" w:rsidP="0042402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4240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Сумма расходов,</w:t>
            </w:r>
          </w:p>
          <w:p w:rsidR="00F37523" w:rsidRPr="00A7532A" w:rsidRDefault="00F37523" w:rsidP="00424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всего тыс. руб.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7532A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мероприятий</w:t>
            </w:r>
          </w:p>
        </w:tc>
      </w:tr>
      <w:tr w:rsidR="00F37523" w:rsidRPr="00A7532A">
        <w:trPr>
          <w:trHeight w:val="5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4240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4240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4240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4240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42402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4240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4240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23" w:rsidRPr="00A7532A">
        <w:trPr>
          <w:trHeight w:val="13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Обустройство территории МОКУ «Коммунарская  и Спасская  СОШ», МДКОУ «Детский сад «Родничок»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DF7A77">
            <w:pPr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F37523" w:rsidRPr="00A7532A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7532A">
              <w:rPr>
                <w:rFonts w:ascii="Times New Roman" w:hAnsi="Times New Roman"/>
                <w:sz w:val="24"/>
                <w:szCs w:val="24"/>
              </w:rPr>
              <w:t xml:space="preserve">Устройство спортивной площадки на территории Коммунарской и Спасской СОШ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F37523" w:rsidRPr="00A7532A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DF7A77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7532A">
              <w:rPr>
                <w:rFonts w:ascii="Times New Roman" w:hAnsi="Times New Roman"/>
                <w:sz w:val="24"/>
                <w:szCs w:val="24"/>
              </w:rPr>
              <w:t xml:space="preserve">Устройство детских игровых площадок в          </w:t>
            </w:r>
            <w:proofErr w:type="gramStart"/>
            <w:r w:rsidRPr="00A7532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7532A">
              <w:rPr>
                <w:rFonts w:ascii="Times New Roman" w:hAnsi="Times New Roman"/>
                <w:sz w:val="24"/>
                <w:szCs w:val="24"/>
              </w:rPr>
              <w:t>. Высокое и деревне Спасское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F37523" w:rsidRPr="00A7532A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DF7A77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32A">
              <w:rPr>
                <w:rFonts w:ascii="Times New Roman" w:hAnsi="Times New Roman"/>
                <w:sz w:val="24"/>
                <w:szCs w:val="24"/>
              </w:rPr>
              <w:t xml:space="preserve">Обустройство зоны отдыха в с. Высокое  и  </w:t>
            </w:r>
            <w:r w:rsidRPr="00A7532A">
              <w:rPr>
                <w:rFonts w:ascii="Times New Roman" w:hAnsi="Times New Roman"/>
                <w:sz w:val="24"/>
                <w:szCs w:val="24"/>
              </w:rPr>
              <w:lastRenderedPageBreak/>
              <w:t>деревне Спасское устройством освещения и пешеходных дорожек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бюджеты всех уровней; </w:t>
            </w:r>
            <w:r w:rsidRPr="00A75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Высокского </w:t>
            </w:r>
            <w:r w:rsidRPr="00A75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</w:t>
            </w:r>
          </w:p>
        </w:tc>
      </w:tr>
      <w:tr w:rsidR="00F37523" w:rsidRPr="00A7532A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7532A">
              <w:rPr>
                <w:rFonts w:ascii="Times New Roman" w:hAnsi="Times New Roman"/>
                <w:sz w:val="24"/>
                <w:szCs w:val="24"/>
              </w:rPr>
              <w:t>Восстановление памятников с</w:t>
            </w:r>
            <w:proofErr w:type="gramStart"/>
            <w:r w:rsidRPr="00A7532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7532A">
              <w:rPr>
                <w:rFonts w:ascii="Times New Roman" w:hAnsi="Times New Roman"/>
                <w:sz w:val="24"/>
                <w:szCs w:val="24"/>
              </w:rPr>
              <w:t>ысокое и д.Спасское Медвенского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F37523" w:rsidRPr="00A7532A">
        <w:trPr>
          <w:trHeight w:val="11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7532A">
              <w:rPr>
                <w:rFonts w:ascii="Times New Roman" w:hAnsi="Times New Roman"/>
                <w:sz w:val="24"/>
                <w:szCs w:val="24"/>
              </w:rPr>
              <w:t>Освещение территории сельсовета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F37523" w:rsidRPr="00A7532A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7532A">
              <w:rPr>
                <w:rFonts w:ascii="Times New Roman" w:hAnsi="Times New Roman"/>
                <w:sz w:val="24"/>
                <w:szCs w:val="24"/>
              </w:rPr>
              <w:t xml:space="preserve">Обустройство площадок накопления твердых коммунальных отходов </w:t>
            </w:r>
            <w:proofErr w:type="gramStart"/>
            <w:r w:rsidRPr="00A753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7532A">
              <w:rPr>
                <w:rFonts w:ascii="Times New Roman" w:hAnsi="Times New Roman"/>
                <w:sz w:val="24"/>
                <w:szCs w:val="24"/>
              </w:rPr>
              <w:t xml:space="preserve"> с. Высокое, </w:t>
            </w:r>
          </w:p>
          <w:p w:rsidR="00F37523" w:rsidRPr="00A7532A" w:rsidRDefault="00F37523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7532A">
              <w:rPr>
                <w:rFonts w:ascii="Times New Roman" w:hAnsi="Times New Roman"/>
                <w:sz w:val="24"/>
                <w:szCs w:val="24"/>
              </w:rPr>
              <w:t>д. Спасское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246,408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246,408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F37523" w:rsidRPr="00A7532A">
        <w:trPr>
          <w:trHeight w:val="11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7532A">
              <w:rPr>
                <w:rFonts w:ascii="Times New Roman" w:hAnsi="Times New Roman"/>
                <w:sz w:val="24"/>
                <w:szCs w:val="24"/>
              </w:rPr>
              <w:t xml:space="preserve">Обустройство мест захоронения Сельское кладбище </w:t>
            </w:r>
            <w:proofErr w:type="gramStart"/>
            <w:r w:rsidRPr="00A7532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7532A">
              <w:rPr>
                <w:rFonts w:ascii="Times New Roman" w:hAnsi="Times New Roman"/>
                <w:sz w:val="24"/>
                <w:szCs w:val="24"/>
              </w:rPr>
              <w:t>. Высокое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F37523" w:rsidRPr="00A7532A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7532A">
              <w:rPr>
                <w:rFonts w:ascii="Times New Roman" w:hAnsi="Times New Roman"/>
                <w:sz w:val="24"/>
                <w:szCs w:val="24"/>
              </w:rPr>
              <w:t>Обустройство мест захоронения Сельское кладбище в д. Спасское</w:t>
            </w:r>
          </w:p>
          <w:p w:rsidR="00F37523" w:rsidRPr="00A7532A" w:rsidRDefault="00F37523" w:rsidP="003F6A9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32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7532A">
              <w:rPr>
                <w:rFonts w:ascii="Times New Roman" w:hAnsi="Times New Roman"/>
                <w:sz w:val="24"/>
                <w:szCs w:val="24"/>
              </w:rPr>
              <w:t xml:space="preserve">. Ленинская Искра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FD24F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бюджеты всех уровней;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3F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</w:t>
            </w:r>
          </w:p>
        </w:tc>
      </w:tr>
      <w:tr w:rsidR="00F37523" w:rsidRPr="00A7532A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FD24F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3F6A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23" w:rsidRPr="00A7532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FD24F4">
            <w:pPr>
              <w:tabs>
                <w:tab w:val="left" w:pos="62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D258B3">
            <w:pPr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4247,908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D258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246,408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D258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23" w:rsidRPr="00A7532A" w:rsidRDefault="00F37523" w:rsidP="00D258B3">
            <w:pPr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23" w:rsidRPr="00A7532A" w:rsidRDefault="00F37523" w:rsidP="00D258B3">
            <w:pPr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523" w:rsidRPr="00A7532A" w:rsidRDefault="00F37523" w:rsidP="00D258B3">
            <w:pPr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523" w:rsidRPr="00A7532A" w:rsidRDefault="00F37523" w:rsidP="00D258B3">
            <w:pPr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2A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23" w:rsidRPr="00A7532A" w:rsidRDefault="00F37523" w:rsidP="003F6A9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37523" w:rsidRPr="00A7532A" w:rsidRDefault="00F37523" w:rsidP="004D0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37523" w:rsidRPr="00A7532A" w:rsidSect="00D258B3">
          <w:pgSz w:w="16838" w:h="11906" w:orient="landscape"/>
          <w:pgMar w:top="1134" w:right="1077" w:bottom="1134" w:left="1531" w:header="709" w:footer="709" w:gutter="0"/>
          <w:cols w:space="708"/>
          <w:docGrid w:linePitch="360"/>
        </w:sectPr>
      </w:pPr>
    </w:p>
    <w:p w:rsidR="00F37523" w:rsidRPr="00A7532A" w:rsidRDefault="00F37523" w:rsidP="005513EA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F37523" w:rsidRPr="00A7532A" w:rsidSect="00E904C5">
      <w:pgSz w:w="11906" w:h="16838"/>
      <w:pgMar w:top="1134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BEB"/>
    <w:rsid w:val="00002E18"/>
    <w:rsid w:val="000132A4"/>
    <w:rsid w:val="00015C8D"/>
    <w:rsid w:val="00024955"/>
    <w:rsid w:val="00046906"/>
    <w:rsid w:val="000555A5"/>
    <w:rsid w:val="0008186C"/>
    <w:rsid w:val="00110E9C"/>
    <w:rsid w:val="00121229"/>
    <w:rsid w:val="001713D8"/>
    <w:rsid w:val="00173719"/>
    <w:rsid w:val="0018103C"/>
    <w:rsid w:val="00196E72"/>
    <w:rsid w:val="001A230E"/>
    <w:rsid w:val="001C560E"/>
    <w:rsid w:val="001D11E3"/>
    <w:rsid w:val="001F0045"/>
    <w:rsid w:val="001F7725"/>
    <w:rsid w:val="002649F7"/>
    <w:rsid w:val="00273AF6"/>
    <w:rsid w:val="00296D3C"/>
    <w:rsid w:val="002B0881"/>
    <w:rsid w:val="002C015D"/>
    <w:rsid w:val="002C3186"/>
    <w:rsid w:val="002C6BAA"/>
    <w:rsid w:val="002D59E8"/>
    <w:rsid w:val="002D798D"/>
    <w:rsid w:val="002E3287"/>
    <w:rsid w:val="002F40EC"/>
    <w:rsid w:val="003100E2"/>
    <w:rsid w:val="003120C7"/>
    <w:rsid w:val="0034140E"/>
    <w:rsid w:val="00355629"/>
    <w:rsid w:val="00374609"/>
    <w:rsid w:val="0039686A"/>
    <w:rsid w:val="003B7A59"/>
    <w:rsid w:val="003E7459"/>
    <w:rsid w:val="003F3977"/>
    <w:rsid w:val="003F6A9B"/>
    <w:rsid w:val="004233DB"/>
    <w:rsid w:val="0042402E"/>
    <w:rsid w:val="004809A9"/>
    <w:rsid w:val="00494129"/>
    <w:rsid w:val="004D0C5A"/>
    <w:rsid w:val="004E6842"/>
    <w:rsid w:val="00522D51"/>
    <w:rsid w:val="00531E23"/>
    <w:rsid w:val="00543E10"/>
    <w:rsid w:val="005513EA"/>
    <w:rsid w:val="005D2B7E"/>
    <w:rsid w:val="005F2B2B"/>
    <w:rsid w:val="006768A4"/>
    <w:rsid w:val="00696461"/>
    <w:rsid w:val="006A0B30"/>
    <w:rsid w:val="006D156D"/>
    <w:rsid w:val="006D3274"/>
    <w:rsid w:val="006E7D67"/>
    <w:rsid w:val="006F1100"/>
    <w:rsid w:val="006F62CF"/>
    <w:rsid w:val="00735073"/>
    <w:rsid w:val="007417C9"/>
    <w:rsid w:val="00777D0D"/>
    <w:rsid w:val="007827D2"/>
    <w:rsid w:val="007A2D9C"/>
    <w:rsid w:val="007B5EBF"/>
    <w:rsid w:val="007F6078"/>
    <w:rsid w:val="007F6C57"/>
    <w:rsid w:val="00832D39"/>
    <w:rsid w:val="00835425"/>
    <w:rsid w:val="00850D15"/>
    <w:rsid w:val="00873F1A"/>
    <w:rsid w:val="00881873"/>
    <w:rsid w:val="008E0114"/>
    <w:rsid w:val="0094445A"/>
    <w:rsid w:val="009C2867"/>
    <w:rsid w:val="009C2C38"/>
    <w:rsid w:val="00A42F65"/>
    <w:rsid w:val="00A7532A"/>
    <w:rsid w:val="00A965C3"/>
    <w:rsid w:val="00AE42F1"/>
    <w:rsid w:val="00AE7416"/>
    <w:rsid w:val="00AF4FD7"/>
    <w:rsid w:val="00B067F9"/>
    <w:rsid w:val="00B21E9F"/>
    <w:rsid w:val="00B37AC7"/>
    <w:rsid w:val="00B50075"/>
    <w:rsid w:val="00B61B11"/>
    <w:rsid w:val="00BA3561"/>
    <w:rsid w:val="00BA7D83"/>
    <w:rsid w:val="00C10117"/>
    <w:rsid w:val="00C15BEB"/>
    <w:rsid w:val="00C21984"/>
    <w:rsid w:val="00C3435B"/>
    <w:rsid w:val="00C45347"/>
    <w:rsid w:val="00C74187"/>
    <w:rsid w:val="00C83C68"/>
    <w:rsid w:val="00CC11CF"/>
    <w:rsid w:val="00CC72FC"/>
    <w:rsid w:val="00CF0573"/>
    <w:rsid w:val="00D23AA1"/>
    <w:rsid w:val="00D258B3"/>
    <w:rsid w:val="00D45CFF"/>
    <w:rsid w:val="00D917FE"/>
    <w:rsid w:val="00DD0B35"/>
    <w:rsid w:val="00DF7A77"/>
    <w:rsid w:val="00E07A2A"/>
    <w:rsid w:val="00E13FA1"/>
    <w:rsid w:val="00E652B6"/>
    <w:rsid w:val="00E904C5"/>
    <w:rsid w:val="00EA1136"/>
    <w:rsid w:val="00EB3653"/>
    <w:rsid w:val="00EB68F9"/>
    <w:rsid w:val="00EC2388"/>
    <w:rsid w:val="00EE337F"/>
    <w:rsid w:val="00EF2714"/>
    <w:rsid w:val="00F007A2"/>
    <w:rsid w:val="00F22B34"/>
    <w:rsid w:val="00F27F2A"/>
    <w:rsid w:val="00F37523"/>
    <w:rsid w:val="00F37CE0"/>
    <w:rsid w:val="00F947ED"/>
    <w:rsid w:val="00FD04E1"/>
    <w:rsid w:val="00FD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8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C15BE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15BEB"/>
    <w:pPr>
      <w:shd w:val="clear" w:color="auto" w:fill="FFFFFF"/>
      <w:spacing w:after="540" w:line="245" w:lineRule="exact"/>
      <w:ind w:firstLine="660"/>
    </w:pPr>
    <w:rPr>
      <w:rFonts w:cs="Times New Roman"/>
      <w:sz w:val="21"/>
      <w:szCs w:val="21"/>
      <w:lang/>
    </w:rPr>
  </w:style>
  <w:style w:type="paragraph" w:customStyle="1" w:styleId="ConsPlusCell">
    <w:name w:val="ConsPlusCell"/>
    <w:uiPriority w:val="99"/>
    <w:rsid w:val="00C15B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965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link w:val="a4"/>
    <w:uiPriority w:val="99"/>
    <w:qFormat/>
    <w:rsid w:val="0042402E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2402E"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42402E"/>
    <w:rPr>
      <w:sz w:val="22"/>
      <w:szCs w:val="22"/>
      <w:lang w:val="ru-RU" w:eastAsia="en-US" w:bidi="ar-SA"/>
    </w:rPr>
  </w:style>
  <w:style w:type="paragraph" w:customStyle="1" w:styleId="1">
    <w:name w:val="Знак Знак1 Знак Знак Знак Знак"/>
    <w:basedOn w:val="a"/>
    <w:uiPriority w:val="99"/>
    <w:rsid w:val="005F2B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E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47</cp:revision>
  <cp:lastPrinted>2021-03-09T13:28:00Z</cp:lastPrinted>
  <dcterms:created xsi:type="dcterms:W3CDTF">2019-07-01T11:57:00Z</dcterms:created>
  <dcterms:modified xsi:type="dcterms:W3CDTF">2021-03-09T13:28:00Z</dcterms:modified>
</cp:coreProperties>
</file>